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F7" w:rsidRDefault="00F95BF7" w:rsidP="00F95BF7">
      <w:pPr>
        <w:tabs>
          <w:tab w:val="left" w:pos="3960"/>
        </w:tabs>
        <w:jc w:val="both"/>
        <w:rPr>
          <w:sz w:val="28"/>
          <w:szCs w:val="28"/>
        </w:rPr>
      </w:pPr>
      <w:bookmarkStart w:id="0" w:name="_GoBack"/>
      <w:bookmarkEnd w:id="0"/>
    </w:p>
    <w:p w:rsidR="00F95BF7" w:rsidRDefault="00F95BF7" w:rsidP="00F95BF7">
      <w:pPr>
        <w:ind w:left="-72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Совет депутатов города Каргата</w:t>
      </w:r>
    </w:p>
    <w:p w:rsidR="00F95BF7" w:rsidRDefault="00F95BF7" w:rsidP="00F95BF7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5BF7" w:rsidTr="007E773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BF7" w:rsidRDefault="00F95BF7">
            <w:pPr>
              <w:rPr>
                <w:sz w:val="28"/>
                <w:szCs w:val="28"/>
              </w:rPr>
            </w:pPr>
          </w:p>
        </w:tc>
      </w:tr>
    </w:tbl>
    <w:p w:rsidR="00F95BF7" w:rsidRDefault="00F95BF7" w:rsidP="00F95BF7">
      <w:pPr>
        <w:tabs>
          <w:tab w:val="left" w:pos="3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№ </w:t>
      </w:r>
      <w:r w:rsidR="005B5B72">
        <w:rPr>
          <w:rFonts w:ascii="Arial" w:hAnsi="Arial" w:cs="Arial"/>
          <w:b/>
          <w:sz w:val="28"/>
          <w:szCs w:val="28"/>
        </w:rPr>
        <w:t>311</w:t>
      </w:r>
    </w:p>
    <w:p w:rsidR="00F95BF7" w:rsidRDefault="00F95BF7" w:rsidP="00F95BF7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</w:p>
    <w:p w:rsidR="00F95BF7" w:rsidRDefault="00F95BF7" w:rsidP="00F95BF7">
      <w:pPr>
        <w:tabs>
          <w:tab w:val="left" w:pos="3960"/>
        </w:tabs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3826"/>
        <w:gridCol w:w="2659"/>
      </w:tblGrid>
      <w:tr w:rsidR="00F95BF7" w:rsidRPr="007E773D" w:rsidTr="007E773D">
        <w:tc>
          <w:tcPr>
            <w:tcW w:w="1612" w:type="pct"/>
            <w:tcBorders>
              <w:bottom w:val="single" w:sz="4" w:space="0" w:color="auto"/>
            </w:tcBorders>
            <w:hideMark/>
          </w:tcPr>
          <w:p w:rsidR="007E773D" w:rsidRDefault="007E773D">
            <w:pPr>
              <w:tabs>
                <w:tab w:val="left" w:pos="3960"/>
              </w:tabs>
            </w:pPr>
          </w:p>
          <w:p w:rsidR="00F95BF7" w:rsidRPr="007E773D" w:rsidRDefault="007D306F">
            <w:pPr>
              <w:tabs>
                <w:tab w:val="left" w:pos="3960"/>
              </w:tabs>
            </w:pPr>
            <w:r w:rsidRPr="007E773D">
              <w:t xml:space="preserve"> 50-й сессии  19</w:t>
            </w:r>
            <w:r w:rsidR="005E16B6" w:rsidRPr="007E773D">
              <w:t xml:space="preserve">.11.2014 </w:t>
            </w:r>
            <w:r w:rsidR="00F95BF7" w:rsidRPr="007E773D">
              <w:t xml:space="preserve">  </w:t>
            </w:r>
          </w:p>
        </w:tc>
        <w:tc>
          <w:tcPr>
            <w:tcW w:w="1999" w:type="pct"/>
          </w:tcPr>
          <w:p w:rsidR="00F95BF7" w:rsidRPr="007E773D" w:rsidRDefault="007E773D" w:rsidP="007E773D">
            <w:pPr>
              <w:tabs>
                <w:tab w:val="left" w:pos="3960"/>
              </w:tabs>
              <w:jc w:val="center"/>
            </w:pPr>
            <w:r w:rsidRPr="007E773D">
              <w:t>г. Каргат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hideMark/>
          </w:tcPr>
          <w:p w:rsidR="007E773D" w:rsidRDefault="007E773D">
            <w:pPr>
              <w:tabs>
                <w:tab w:val="left" w:pos="3960"/>
              </w:tabs>
            </w:pPr>
          </w:p>
          <w:p w:rsidR="00F95BF7" w:rsidRPr="007E773D" w:rsidRDefault="00F95BF7" w:rsidP="007E773D">
            <w:pPr>
              <w:tabs>
                <w:tab w:val="left" w:pos="3960"/>
              </w:tabs>
              <w:jc w:val="center"/>
            </w:pPr>
            <w:r w:rsidRPr="007E773D">
              <w:t>4-го созыва</w:t>
            </w:r>
          </w:p>
        </w:tc>
      </w:tr>
    </w:tbl>
    <w:p w:rsidR="00F95BF7" w:rsidRDefault="00F95BF7" w:rsidP="00F95BF7">
      <w:pPr>
        <w:rPr>
          <w:sz w:val="28"/>
          <w:szCs w:val="28"/>
        </w:rPr>
      </w:pPr>
    </w:p>
    <w:p w:rsidR="007E773D" w:rsidRDefault="007E773D" w:rsidP="00F95BF7">
      <w:pPr>
        <w:rPr>
          <w:sz w:val="28"/>
          <w:szCs w:val="28"/>
        </w:rPr>
      </w:pPr>
    </w:p>
    <w:p w:rsidR="007E773D" w:rsidRDefault="007E773D" w:rsidP="00F95BF7">
      <w:pPr>
        <w:rPr>
          <w:sz w:val="28"/>
          <w:szCs w:val="28"/>
        </w:rPr>
      </w:pPr>
    </w:p>
    <w:p w:rsidR="00F95BF7" w:rsidRDefault="00F95BF7" w:rsidP="00F95BF7">
      <w:r>
        <w:t xml:space="preserve">Об установлении ставок  налога на имущество </w:t>
      </w:r>
    </w:p>
    <w:p w:rsidR="00F95BF7" w:rsidRDefault="00F95BF7" w:rsidP="00F95BF7">
      <w:r>
        <w:t>физических лиц</w:t>
      </w:r>
    </w:p>
    <w:p w:rsidR="00F95BF7" w:rsidRDefault="00F95BF7" w:rsidP="00F95BF7"/>
    <w:p w:rsidR="00A06EE7" w:rsidRDefault="00A06EE7" w:rsidP="00F95BF7">
      <w:pPr>
        <w:pStyle w:val="a3"/>
      </w:pPr>
    </w:p>
    <w:p w:rsidR="007E773D" w:rsidRDefault="007E773D" w:rsidP="00F95BF7">
      <w:pPr>
        <w:pStyle w:val="a3"/>
      </w:pPr>
    </w:p>
    <w:p w:rsidR="00F95BF7" w:rsidRPr="00A84E4E" w:rsidRDefault="00A06EE7" w:rsidP="007E773D">
      <w:pPr>
        <w:pStyle w:val="a3"/>
        <w:ind w:firstLine="357"/>
      </w:pPr>
      <w:proofErr w:type="gramStart"/>
      <w:r w:rsidRPr="007E773D">
        <w:t xml:space="preserve">В соответствии с Федеральными </w:t>
      </w:r>
      <w:hyperlink r:id="rId7" w:history="1">
        <w:r w:rsidRPr="007E773D">
          <w:rPr>
            <w:rStyle w:val="a5"/>
            <w:color w:val="auto"/>
            <w:u w:val="none"/>
          </w:rPr>
          <w:t>законами</w:t>
        </w:r>
      </w:hyperlink>
      <w:r w:rsidRPr="007E773D">
        <w:t xml:space="preserve"> от 6 октября 2003 г. № 131-ФЗ «Об общих</w:t>
      </w:r>
      <w:r w:rsidRPr="00A84E4E">
        <w:t xml:space="preserve"> принципах организации местного самоуправления в Российской Федерации», от 04 октября 2014 г. № 284-ФЗ «</w:t>
      </w:r>
      <w:r w:rsidRPr="00A84E4E">
        <w:rPr>
          <w:rFonts w:eastAsia="Calibri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A84E4E">
        <w:rPr>
          <w:rFonts w:eastAsia="Calibri"/>
          <w:lang w:eastAsia="en-US"/>
        </w:rPr>
        <w:t xml:space="preserve"> </w:t>
      </w:r>
      <w:proofErr w:type="gramStart"/>
      <w:r w:rsidRPr="00A84E4E">
        <w:rPr>
          <w:rFonts w:eastAsia="Calibri"/>
          <w:lang w:eastAsia="en-US"/>
        </w:rPr>
        <w:t xml:space="preserve">Налогового кодекса Российской Федерации и </w:t>
      </w:r>
      <w:r w:rsidRPr="00A84E4E"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 w:rsidR="00F3425B">
        <w:t xml:space="preserve">статьей 22  Устава </w:t>
      </w:r>
      <w:r w:rsidRPr="00A84E4E">
        <w:t xml:space="preserve">муниципального образования </w:t>
      </w:r>
      <w:r w:rsidR="00F3425B">
        <w:t>города Каргата</w:t>
      </w:r>
      <w:r w:rsidR="00F95BF7" w:rsidRPr="00A84E4E">
        <w:t xml:space="preserve">,   Совет депутатов  города Каргата </w:t>
      </w:r>
      <w:proofErr w:type="gramEnd"/>
    </w:p>
    <w:p w:rsidR="00F95BF7" w:rsidRDefault="00F95BF7" w:rsidP="00F95BF7">
      <w:pPr>
        <w:jc w:val="both"/>
      </w:pPr>
      <w:r>
        <w:t>РЕШИЛ: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</w:pPr>
      <w:r w:rsidRPr="0077645A">
        <w:t xml:space="preserve">1. Установить и ввести в действие с 1 января 2015 года на территории муниципального образования </w:t>
      </w:r>
      <w:r w:rsidR="009740E0">
        <w:t>города Каргата Каргатского района Новосиби</w:t>
      </w:r>
      <w:r w:rsidR="003C1D69">
        <w:t>р</w:t>
      </w:r>
      <w:r w:rsidR="009740E0">
        <w:t>ской области</w:t>
      </w:r>
      <w:r w:rsidRPr="0077645A">
        <w:t xml:space="preserve"> налог на имущество физических лиц (далее – налог).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</w:pPr>
      <w:r w:rsidRPr="0077645A"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</w:pPr>
      <w:r w:rsidRPr="0077645A">
        <w:rPr>
          <w:rFonts w:eastAsia="Calibri"/>
          <w:lang w:eastAsia="en-US"/>
        </w:rPr>
        <w:t xml:space="preserve">3. </w:t>
      </w:r>
      <w:r w:rsidR="00A84E4E">
        <w:t xml:space="preserve">Установить </w:t>
      </w:r>
      <w:r w:rsidRPr="0077645A">
        <w:t xml:space="preserve"> налоговые вычеты при определении на</w:t>
      </w:r>
      <w:r w:rsidR="00A84E4E">
        <w:t>логовой базы в соответствии с пунктами 3-6 статьи 403 Налогового Кодекса РФ;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</w:pPr>
      <w:r w:rsidRPr="0077645A">
        <w:t>4. Установить следующие налоговые ставки по налогу:</w:t>
      </w:r>
    </w:p>
    <w:p w:rsidR="0077645A" w:rsidRPr="0077645A" w:rsidRDefault="00A84E4E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>4.1. 0,1</w:t>
      </w:r>
      <w:r w:rsidR="0077645A" w:rsidRPr="0077645A">
        <w:rPr>
          <w:rFonts w:eastAsia="Calibri"/>
          <w:lang w:eastAsia="en-US"/>
        </w:rPr>
        <w:t xml:space="preserve"> процента в отношении жилых домов; </w:t>
      </w:r>
    </w:p>
    <w:p w:rsidR="0077645A" w:rsidRPr="0077645A" w:rsidRDefault="00A84E4E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>4.2. 0,1</w:t>
      </w:r>
      <w:r w:rsidR="0077645A" w:rsidRPr="0077645A">
        <w:rPr>
          <w:rFonts w:eastAsia="Calibri"/>
          <w:lang w:eastAsia="en-US"/>
        </w:rPr>
        <w:t xml:space="preserve"> процента в отношении жилых помещений;</w:t>
      </w:r>
    </w:p>
    <w:p w:rsidR="0077645A" w:rsidRPr="0077645A" w:rsidRDefault="00A84E4E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>4.3. 0,1</w:t>
      </w:r>
      <w:r w:rsidR="0077645A" w:rsidRPr="0077645A">
        <w:rPr>
          <w:rFonts w:eastAsia="Calibri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7645A" w:rsidRPr="0077645A" w:rsidRDefault="00A84E4E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>4.4. 0,1</w:t>
      </w:r>
      <w:r w:rsidR="0077645A" w:rsidRPr="0077645A">
        <w:rPr>
          <w:rFonts w:eastAsia="Calibri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77645A" w:rsidRPr="0077645A" w:rsidRDefault="00A84E4E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>4.5. 0,1</w:t>
      </w:r>
      <w:r w:rsidR="0077645A" w:rsidRPr="0077645A">
        <w:rPr>
          <w:rFonts w:eastAsia="Calibri"/>
          <w:lang w:eastAsia="en-US"/>
        </w:rPr>
        <w:t xml:space="preserve"> процента в отношении гаражей и </w:t>
      </w:r>
      <w:proofErr w:type="spellStart"/>
      <w:r w:rsidR="0077645A" w:rsidRPr="0077645A">
        <w:rPr>
          <w:rFonts w:eastAsia="Calibri"/>
          <w:lang w:eastAsia="en-US"/>
        </w:rPr>
        <w:t>машино</w:t>
      </w:r>
      <w:proofErr w:type="spellEnd"/>
      <w:r w:rsidR="0077645A" w:rsidRPr="0077645A">
        <w:rPr>
          <w:rFonts w:eastAsia="Calibri"/>
          <w:lang w:eastAsia="en-US"/>
        </w:rPr>
        <w:t>-мест;</w:t>
      </w:r>
    </w:p>
    <w:p w:rsidR="0077645A" w:rsidRPr="0077645A" w:rsidRDefault="00996116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t xml:space="preserve">4.6. 0,1 </w:t>
      </w:r>
      <w:r w:rsidR="0077645A" w:rsidRPr="0077645A">
        <w:rPr>
          <w:rFonts w:eastAsia="Calibri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7645A" w:rsidRPr="0077645A" w:rsidRDefault="00C61AC5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4.7. 2</w:t>
      </w:r>
      <w:r w:rsidR="006B134C">
        <w:rPr>
          <w:rFonts w:eastAsia="Calibri"/>
          <w:lang w:eastAsia="en-US"/>
        </w:rPr>
        <w:t>,0</w:t>
      </w:r>
      <w:r>
        <w:rPr>
          <w:rFonts w:eastAsia="Calibri"/>
          <w:lang w:eastAsia="en-US"/>
        </w:rPr>
        <w:t xml:space="preserve">  </w:t>
      </w:r>
      <w:r w:rsidR="0077645A" w:rsidRPr="0077645A">
        <w:rPr>
          <w:rFonts w:eastAsia="Calibri"/>
          <w:lang w:eastAsia="en-US"/>
        </w:rPr>
        <w:t>процентов в отношении объектов налогообложения, включенных в перечень, определяемый в соответствии с пунктом 7 статьи 378</w:t>
      </w:r>
      <w:r w:rsidR="0077645A" w:rsidRPr="0077645A">
        <w:rPr>
          <w:rFonts w:eastAsia="Calibri"/>
          <w:vertAlign w:val="superscript"/>
          <w:lang w:eastAsia="en-US"/>
        </w:rPr>
        <w:t>2</w:t>
      </w:r>
      <w:r w:rsidR="0077645A" w:rsidRPr="0077645A">
        <w:rPr>
          <w:rFonts w:eastAsia="Calibri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77645A" w:rsidRPr="0077645A">
        <w:rPr>
          <w:rFonts w:eastAsia="Calibri"/>
          <w:vertAlign w:val="superscript"/>
          <w:lang w:eastAsia="en-US"/>
        </w:rPr>
        <w:t>2</w:t>
      </w:r>
      <w:r w:rsidR="0077645A" w:rsidRPr="0077645A">
        <w:rPr>
          <w:rFonts w:eastAsia="Calibri"/>
          <w:lang w:eastAsia="en-US"/>
        </w:rPr>
        <w:t xml:space="preserve"> Налогового кодекса Российской Федерации; </w:t>
      </w:r>
    </w:p>
    <w:p w:rsidR="0077645A" w:rsidRPr="0077645A" w:rsidRDefault="00C61AC5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4.8. 2</w:t>
      </w:r>
      <w:r w:rsidR="006B134C">
        <w:rPr>
          <w:rFonts w:eastAsia="Calibri"/>
          <w:lang w:eastAsia="en-US"/>
        </w:rPr>
        <w:t>,0</w:t>
      </w:r>
      <w:r w:rsidR="0077645A" w:rsidRPr="0077645A">
        <w:rPr>
          <w:rFonts w:eastAsia="Calibri"/>
          <w:lang w:eastAsia="en-US"/>
        </w:rPr>
        <w:t xml:space="preserve"> процентов в отношении объектов налогообложения, кадастровая стоимость каждого из которых превышает 300 миллионов рублей; </w:t>
      </w:r>
    </w:p>
    <w:p w:rsidR="0077645A" w:rsidRPr="0077645A" w:rsidRDefault="00C61AC5" w:rsidP="007E773D">
      <w:pPr>
        <w:autoSpaceDE w:val="0"/>
        <w:autoSpaceDN w:val="0"/>
        <w:adjustRightInd w:val="0"/>
        <w:ind w:firstLine="35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4.9. 0,5 </w:t>
      </w:r>
      <w:r w:rsidR="0077645A" w:rsidRPr="0077645A">
        <w:rPr>
          <w:rFonts w:eastAsia="Calibri"/>
          <w:lang w:eastAsia="en-US"/>
        </w:rPr>
        <w:t>процента в отношении прочих объектов налогообложения.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77645A">
        <w:rPr>
          <w:rFonts w:eastAsia="Calibri"/>
          <w:lang w:eastAsia="en-US"/>
        </w:rPr>
        <w:t>5. Установить, что право на налоговую льготу имеют следующие категории налогоплательщиков:</w:t>
      </w:r>
    </w:p>
    <w:p w:rsidR="00CE3937" w:rsidRPr="00CE3937" w:rsidRDefault="00CE3937" w:rsidP="007E773D">
      <w:pPr>
        <w:pStyle w:val="ConsPlusNormal"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39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2) инвалиды I и II групп инвалидности;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3) инвалиды с детства;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CE3937" w:rsidRPr="007E773D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proofErr w:type="gramStart"/>
      <w:r w:rsidRPr="007E773D">
        <w:rPr>
          <w:rFonts w:eastAsiaTheme="minorHAnsi"/>
          <w:lang w:eastAsia="en-US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7E773D">
        <w:rPr>
          <w:rFonts w:eastAsiaTheme="minorHAnsi"/>
          <w:lang w:eastAsia="en-US"/>
        </w:rPr>
        <w:t xml:space="preserve"> частей действующей армии;</w:t>
      </w:r>
    </w:p>
    <w:p w:rsidR="00CE3937" w:rsidRPr="007E773D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proofErr w:type="gramStart"/>
      <w:r w:rsidRPr="007E773D">
        <w:rPr>
          <w:rFonts w:eastAsiaTheme="minorHAnsi"/>
          <w:lang w:eastAsia="en-US"/>
        </w:rPr>
        <w:t xml:space="preserve">6) лица, имеющие право на получение социальной поддержки в соответствии с </w:t>
      </w:r>
      <w:hyperlink r:id="rId8" w:history="1">
        <w:r w:rsidRPr="007E773D">
          <w:rPr>
            <w:rFonts w:eastAsiaTheme="minorHAnsi"/>
            <w:lang w:eastAsia="en-US"/>
          </w:rPr>
          <w:t>Законом</w:t>
        </w:r>
      </w:hyperlink>
      <w:r w:rsidRPr="007E773D">
        <w:rPr>
          <w:rFonts w:eastAsiaTheme="minorHAnsi"/>
          <w:lang w:eastAsia="en-US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9" w:history="1">
        <w:r w:rsidRPr="007E773D">
          <w:rPr>
            <w:rFonts w:eastAsiaTheme="minorHAnsi"/>
            <w:lang w:eastAsia="en-US"/>
          </w:rPr>
          <w:t>законом</w:t>
        </w:r>
      </w:hyperlink>
      <w:r w:rsidRPr="007E773D">
        <w:rPr>
          <w:rFonts w:eastAsiaTheme="minorHAnsi"/>
          <w:lang w:eastAsia="en-US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7E773D">
        <w:rPr>
          <w:rFonts w:eastAsiaTheme="minorHAnsi"/>
          <w:lang w:eastAsia="en-US"/>
        </w:rPr>
        <w:t xml:space="preserve"> </w:t>
      </w:r>
      <w:proofErr w:type="gramStart"/>
      <w:r w:rsidRPr="007E773D">
        <w:rPr>
          <w:rFonts w:eastAsiaTheme="minorHAnsi"/>
          <w:lang w:eastAsia="en-US"/>
        </w:rPr>
        <w:t xml:space="preserve">производственном объединении "Маяк" и сбросов радиоактивных отходов в реку </w:t>
      </w:r>
      <w:proofErr w:type="spellStart"/>
      <w:r w:rsidRPr="007E773D">
        <w:rPr>
          <w:rFonts w:eastAsiaTheme="minorHAnsi"/>
          <w:lang w:eastAsia="en-US"/>
        </w:rPr>
        <w:t>Теча</w:t>
      </w:r>
      <w:proofErr w:type="spellEnd"/>
      <w:r w:rsidRPr="007E773D">
        <w:rPr>
          <w:rFonts w:eastAsiaTheme="minorHAnsi"/>
          <w:lang w:eastAsia="en-US"/>
        </w:rPr>
        <w:t xml:space="preserve">" и Федеральным </w:t>
      </w:r>
      <w:hyperlink r:id="rId10" w:history="1">
        <w:r w:rsidRPr="007E773D">
          <w:rPr>
            <w:rFonts w:eastAsiaTheme="minorHAnsi"/>
            <w:lang w:eastAsia="en-US"/>
          </w:rPr>
          <w:t>законом</w:t>
        </w:r>
      </w:hyperlink>
      <w:r w:rsidRPr="007E773D">
        <w:rPr>
          <w:rFonts w:eastAsiaTheme="minorHAnsi"/>
          <w:lang w:eastAsia="en-US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7E773D">
        <w:rPr>
          <w:rFonts w:eastAsiaTheme="minorHAnsi"/>
          <w:lang w:eastAsia="en-US"/>
        </w:rPr>
        <w:t>7) военнослужащие, а также граждане, уволенные с военной службы по достижении</w:t>
      </w:r>
      <w:r w:rsidRPr="00CE3937">
        <w:rPr>
          <w:rFonts w:eastAsiaTheme="minorHAnsi"/>
          <w:lang w:eastAsia="en-US"/>
        </w:rPr>
        <w:t xml:space="preserve">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9) члены семей военнослужащих, потерявших кормильца;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CE3937" w:rsidRPr="00CE3937" w:rsidRDefault="00CE3937" w:rsidP="007E773D">
      <w:pPr>
        <w:autoSpaceDE w:val="0"/>
        <w:autoSpaceDN w:val="0"/>
        <w:adjustRightInd w:val="0"/>
        <w:ind w:firstLine="357"/>
        <w:jc w:val="both"/>
        <w:rPr>
          <w:rFonts w:eastAsiaTheme="minorHAnsi"/>
          <w:lang w:eastAsia="en-US"/>
        </w:rPr>
      </w:pPr>
      <w:r w:rsidRPr="00CE3937">
        <w:rPr>
          <w:rFonts w:eastAsiaTheme="minorHAnsi"/>
          <w:lang w:eastAsia="en-US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77645A">
        <w:lastRenderedPageBreak/>
        <w:t xml:space="preserve">6. Установить следующие основания и порядок применения налоговых льгот,  </w:t>
      </w:r>
      <w:r w:rsidRPr="0077645A">
        <w:rPr>
          <w:rFonts w:eastAsia="Calibri"/>
          <w:lang w:eastAsia="en-US"/>
        </w:rPr>
        <w:t>предус</w:t>
      </w:r>
      <w:r w:rsidR="008317B0">
        <w:rPr>
          <w:rFonts w:eastAsia="Calibri"/>
          <w:lang w:eastAsia="en-US"/>
        </w:rPr>
        <w:t>мотренных пунктом 4</w:t>
      </w:r>
      <w:r w:rsidR="003172DF">
        <w:rPr>
          <w:rFonts w:eastAsia="Calibri"/>
          <w:lang w:eastAsia="en-US"/>
        </w:rPr>
        <w:t xml:space="preserve"> настоящего решения</w:t>
      </w:r>
      <w:r w:rsidRPr="0077645A">
        <w:rPr>
          <w:rFonts w:eastAsia="Calibri"/>
          <w:lang w:eastAsia="en-US"/>
        </w:rPr>
        <w:t>:</w:t>
      </w:r>
    </w:p>
    <w:p w:rsidR="0077645A" w:rsidRPr="0077645A" w:rsidRDefault="0077645A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77645A">
        <w:rPr>
          <w:rFonts w:eastAsia="Calibri"/>
          <w:lang w:eastAsia="en-US"/>
        </w:rPr>
        <w:t xml:space="preserve"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77645A" w:rsidRDefault="0077645A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77645A">
        <w:rPr>
          <w:rFonts w:eastAsia="Calibri"/>
          <w:lang w:eastAsia="en-US"/>
        </w:rPr>
        <w:t xml:space="preserve">6.2.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473A2C" w:rsidRDefault="00473A2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</w:t>
      </w:r>
      <w:r w:rsidR="007E77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73A2C" w:rsidRDefault="00473A2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квартира или комната;</w:t>
      </w:r>
    </w:p>
    <w:p w:rsidR="00473A2C" w:rsidRDefault="00473A2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2)жилой дом;</w:t>
      </w:r>
    </w:p>
    <w:p w:rsidR="00473A2C" w:rsidRDefault="00473A2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3)помещение или сооружение, указанное в подпункте 14 пункта 5 решения;</w:t>
      </w:r>
    </w:p>
    <w:p w:rsidR="00473A2C" w:rsidRDefault="009551F4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4)хозяй</w:t>
      </w:r>
      <w:r w:rsidR="00473A2C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т</w:t>
      </w:r>
      <w:r w:rsidR="00473A2C">
        <w:rPr>
          <w:rFonts w:eastAsia="Calibri"/>
          <w:lang w:eastAsia="en-US"/>
        </w:rPr>
        <w:t>венное строение или сооружение, указанные в подпункте 15 пункта</w:t>
      </w:r>
      <w:r w:rsidR="005E16B6">
        <w:rPr>
          <w:rFonts w:eastAsia="Calibri"/>
          <w:lang w:eastAsia="en-US"/>
        </w:rPr>
        <w:t xml:space="preserve"> </w:t>
      </w:r>
      <w:r w:rsidR="00473A2C">
        <w:rPr>
          <w:rFonts w:eastAsia="Calibri"/>
          <w:lang w:eastAsia="en-US"/>
        </w:rPr>
        <w:t>5 решения;</w:t>
      </w:r>
    </w:p>
    <w:p w:rsidR="00473A2C" w:rsidRPr="0077645A" w:rsidRDefault="00473A2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5)гараж или </w:t>
      </w:r>
      <w:proofErr w:type="spellStart"/>
      <w:r>
        <w:rPr>
          <w:rFonts w:eastAsia="Calibri"/>
          <w:lang w:eastAsia="en-US"/>
        </w:rPr>
        <w:t>машино</w:t>
      </w:r>
      <w:proofErr w:type="spellEnd"/>
      <w:r>
        <w:rPr>
          <w:rFonts w:eastAsia="Calibri"/>
          <w:lang w:eastAsia="en-US"/>
        </w:rPr>
        <w:t xml:space="preserve"> – место;</w:t>
      </w:r>
    </w:p>
    <w:p w:rsidR="0077645A" w:rsidRPr="0077645A" w:rsidRDefault="00EF288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6.4</w:t>
      </w:r>
      <w:r w:rsidR="0077645A" w:rsidRPr="0077645A">
        <w:rPr>
          <w:rFonts w:eastAsia="Calibri"/>
          <w:lang w:eastAsia="en-US"/>
        </w:rPr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77645A" w:rsidRDefault="00EF288C" w:rsidP="007E773D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6.5</w:t>
      </w:r>
      <w:r w:rsidR="0077645A" w:rsidRPr="0077645A">
        <w:rPr>
          <w:rFonts w:eastAsia="Calibri"/>
          <w:lang w:eastAsia="en-US"/>
        </w:rPr>
        <w:t>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</w:t>
      </w:r>
      <w:r w:rsidR="00EC621C">
        <w:rPr>
          <w:rFonts w:eastAsia="Calibri"/>
          <w:lang w:eastAsia="en-US"/>
        </w:rPr>
        <w:t xml:space="preserve"> по своему усмотрению</w:t>
      </w:r>
      <w:r w:rsidR="0077645A" w:rsidRPr="0077645A">
        <w:rPr>
          <w:rFonts w:eastAsia="Calibri"/>
          <w:lang w:eastAsia="en-US"/>
        </w:rPr>
        <w:t>;</w:t>
      </w:r>
    </w:p>
    <w:p w:rsidR="00473A2C" w:rsidRDefault="00473A2C" w:rsidP="007E773D">
      <w:pPr>
        <w:ind w:firstLine="357"/>
        <w:jc w:val="both"/>
      </w:pPr>
      <w:r>
        <w:t>7. Признать утратившим силу решение Совета депутатов города Каргата Каргатского района Новосибир</w:t>
      </w:r>
      <w:r w:rsidR="00EF288C">
        <w:t xml:space="preserve">ской области от 30.11.2010 № 47 «О ставках налога на имущество физических лиц». </w:t>
      </w:r>
    </w:p>
    <w:p w:rsidR="00473A2C" w:rsidRDefault="00473A2C" w:rsidP="007E773D">
      <w:pPr>
        <w:ind w:firstLine="357"/>
        <w:jc w:val="both"/>
      </w:pPr>
      <w:r>
        <w:t xml:space="preserve">8. Опубликовать решение в средствах массовой информации и разместить на официальном сайте администрации города Каргата.  </w:t>
      </w:r>
    </w:p>
    <w:p w:rsidR="0077645A" w:rsidRPr="0077645A" w:rsidRDefault="00EF288C" w:rsidP="007E773D">
      <w:pPr>
        <w:autoSpaceDE w:val="0"/>
        <w:autoSpaceDN w:val="0"/>
        <w:adjustRightInd w:val="0"/>
        <w:ind w:firstLine="357"/>
        <w:jc w:val="both"/>
      </w:pPr>
      <w:r>
        <w:rPr>
          <w:rFonts w:eastAsia="Calibri"/>
          <w:lang w:eastAsia="en-US"/>
        </w:rPr>
        <w:t>9</w:t>
      </w:r>
      <w:r w:rsidR="0077645A" w:rsidRPr="0077645A">
        <w:rPr>
          <w:rFonts w:eastAsia="Calibri"/>
          <w:bCs/>
          <w:lang w:eastAsia="en-US"/>
        </w:rPr>
        <w:t xml:space="preserve">. </w:t>
      </w:r>
      <w:r w:rsidR="0077645A" w:rsidRPr="0077645A">
        <w:t xml:space="preserve">Настоящее </w:t>
      </w:r>
      <w:r w:rsidR="00473A2C">
        <w:rPr>
          <w:rFonts w:eastAsia="Calibri"/>
          <w:lang w:eastAsia="en-US"/>
        </w:rPr>
        <w:t xml:space="preserve">решение </w:t>
      </w:r>
      <w:r w:rsidR="0077645A" w:rsidRPr="0077645A">
        <w:t>вступает в силу по истечении одного месяца с момента официального опубликования, но не ранее 1 января 2015 года.</w:t>
      </w:r>
    </w:p>
    <w:p w:rsidR="0077645A" w:rsidRPr="0077645A" w:rsidRDefault="0077645A" w:rsidP="0077645A">
      <w:pPr>
        <w:autoSpaceDE w:val="0"/>
        <w:autoSpaceDN w:val="0"/>
        <w:adjustRightInd w:val="0"/>
        <w:jc w:val="both"/>
      </w:pPr>
    </w:p>
    <w:p w:rsidR="0077645A" w:rsidRDefault="0077645A" w:rsidP="0077645A">
      <w:pPr>
        <w:autoSpaceDE w:val="0"/>
        <w:autoSpaceDN w:val="0"/>
        <w:adjustRightInd w:val="0"/>
        <w:jc w:val="both"/>
      </w:pPr>
    </w:p>
    <w:p w:rsidR="00473A2C" w:rsidRDefault="00473A2C" w:rsidP="0077645A">
      <w:pPr>
        <w:autoSpaceDE w:val="0"/>
        <w:autoSpaceDN w:val="0"/>
        <w:adjustRightInd w:val="0"/>
        <w:jc w:val="both"/>
      </w:pPr>
    </w:p>
    <w:p w:rsidR="007E773D" w:rsidRDefault="007E773D" w:rsidP="0077645A">
      <w:pPr>
        <w:autoSpaceDE w:val="0"/>
        <w:autoSpaceDN w:val="0"/>
        <w:adjustRightInd w:val="0"/>
        <w:jc w:val="both"/>
      </w:pPr>
    </w:p>
    <w:p w:rsidR="007E773D" w:rsidRDefault="007E773D" w:rsidP="0077645A">
      <w:pPr>
        <w:autoSpaceDE w:val="0"/>
        <w:autoSpaceDN w:val="0"/>
        <w:adjustRightInd w:val="0"/>
        <w:jc w:val="both"/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7E773D" w:rsidRPr="0029520D" w:rsidTr="000C01FF">
        <w:tc>
          <w:tcPr>
            <w:tcW w:w="4644" w:type="dxa"/>
          </w:tcPr>
          <w:p w:rsidR="007E773D" w:rsidRPr="0029520D" w:rsidRDefault="007E773D" w:rsidP="007E773D">
            <w:pPr>
              <w:ind w:firstLine="0"/>
              <w:jc w:val="left"/>
            </w:pPr>
            <w:r w:rsidRPr="0029520D">
              <w:t>Глава города Каргата</w:t>
            </w:r>
          </w:p>
          <w:p w:rsidR="007E773D" w:rsidRPr="0029520D" w:rsidRDefault="007E773D" w:rsidP="007E773D">
            <w:pPr>
              <w:ind w:firstLine="0"/>
              <w:jc w:val="left"/>
            </w:pPr>
            <w:r w:rsidRPr="0029520D">
              <w:t>Каргатского района</w:t>
            </w:r>
          </w:p>
          <w:p w:rsidR="007E773D" w:rsidRPr="0029520D" w:rsidRDefault="007E773D" w:rsidP="007E773D">
            <w:pPr>
              <w:ind w:firstLine="0"/>
              <w:jc w:val="left"/>
            </w:pPr>
            <w:r w:rsidRPr="0029520D">
              <w:t xml:space="preserve">Новосибирской области </w:t>
            </w:r>
          </w:p>
          <w:p w:rsidR="007E773D" w:rsidRPr="0029520D" w:rsidRDefault="007E773D" w:rsidP="007E773D">
            <w:pPr>
              <w:ind w:firstLine="0"/>
              <w:jc w:val="left"/>
            </w:pPr>
            <w:r w:rsidRPr="0029520D">
              <w:t>О.А. Орел</w:t>
            </w:r>
          </w:p>
        </w:tc>
        <w:tc>
          <w:tcPr>
            <w:tcW w:w="426" w:type="dxa"/>
          </w:tcPr>
          <w:p w:rsidR="007E773D" w:rsidRPr="0029520D" w:rsidRDefault="007E773D" w:rsidP="000C01FF"/>
        </w:tc>
        <w:tc>
          <w:tcPr>
            <w:tcW w:w="4501" w:type="dxa"/>
          </w:tcPr>
          <w:p w:rsidR="007E773D" w:rsidRPr="0029520D" w:rsidRDefault="007E773D" w:rsidP="007E773D">
            <w:pPr>
              <w:ind w:firstLine="33"/>
              <w:jc w:val="left"/>
            </w:pPr>
            <w:r w:rsidRPr="0029520D">
              <w:t xml:space="preserve">Председатель Совета депутатов города Каргата Каргатского района Новосибирской области </w:t>
            </w:r>
          </w:p>
          <w:p w:rsidR="007E773D" w:rsidRPr="0029520D" w:rsidRDefault="007E773D" w:rsidP="007E773D">
            <w:pPr>
              <w:ind w:firstLine="33"/>
              <w:jc w:val="left"/>
            </w:pPr>
            <w:r w:rsidRPr="0029520D">
              <w:t>А.Г. Чубко</w:t>
            </w:r>
          </w:p>
        </w:tc>
      </w:tr>
    </w:tbl>
    <w:p w:rsidR="009551F4" w:rsidRDefault="009551F4" w:rsidP="0077645A">
      <w:pPr>
        <w:autoSpaceDE w:val="0"/>
        <w:autoSpaceDN w:val="0"/>
        <w:adjustRightInd w:val="0"/>
        <w:jc w:val="both"/>
      </w:pPr>
    </w:p>
    <w:p w:rsidR="009551F4" w:rsidRDefault="009551F4" w:rsidP="0077645A">
      <w:pPr>
        <w:autoSpaceDE w:val="0"/>
        <w:autoSpaceDN w:val="0"/>
        <w:adjustRightInd w:val="0"/>
        <w:jc w:val="both"/>
      </w:pPr>
    </w:p>
    <w:p w:rsidR="009551F4" w:rsidRDefault="009551F4" w:rsidP="0077645A">
      <w:pPr>
        <w:autoSpaceDE w:val="0"/>
        <w:autoSpaceDN w:val="0"/>
        <w:adjustRightInd w:val="0"/>
        <w:jc w:val="both"/>
      </w:pPr>
    </w:p>
    <w:p w:rsidR="009551F4" w:rsidRDefault="009551F4" w:rsidP="0077645A">
      <w:pPr>
        <w:autoSpaceDE w:val="0"/>
        <w:autoSpaceDN w:val="0"/>
        <w:adjustRightInd w:val="0"/>
        <w:jc w:val="both"/>
      </w:pPr>
    </w:p>
    <w:sectPr w:rsidR="009551F4" w:rsidSect="008106D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BF7"/>
    <w:rsid w:val="000C3D85"/>
    <w:rsid w:val="00145517"/>
    <w:rsid w:val="00157370"/>
    <w:rsid w:val="001622B5"/>
    <w:rsid w:val="00164716"/>
    <w:rsid w:val="00175650"/>
    <w:rsid w:val="001C6BFF"/>
    <w:rsid w:val="00237DAA"/>
    <w:rsid w:val="002802C2"/>
    <w:rsid w:val="003021D9"/>
    <w:rsid w:val="003172DF"/>
    <w:rsid w:val="003A0B4B"/>
    <w:rsid w:val="003C1D69"/>
    <w:rsid w:val="003F05D2"/>
    <w:rsid w:val="00473A2C"/>
    <w:rsid w:val="00597ACB"/>
    <w:rsid w:val="005B5B72"/>
    <w:rsid w:val="005D0493"/>
    <w:rsid w:val="005E16B6"/>
    <w:rsid w:val="005F496C"/>
    <w:rsid w:val="00614DEB"/>
    <w:rsid w:val="006B134C"/>
    <w:rsid w:val="006D6D84"/>
    <w:rsid w:val="0077645A"/>
    <w:rsid w:val="007D306F"/>
    <w:rsid w:val="007E773D"/>
    <w:rsid w:val="007F4274"/>
    <w:rsid w:val="008106DC"/>
    <w:rsid w:val="008317B0"/>
    <w:rsid w:val="008C36F4"/>
    <w:rsid w:val="009206D4"/>
    <w:rsid w:val="009551F4"/>
    <w:rsid w:val="009740E0"/>
    <w:rsid w:val="00974795"/>
    <w:rsid w:val="009750C2"/>
    <w:rsid w:val="00996116"/>
    <w:rsid w:val="00A06EE7"/>
    <w:rsid w:val="00A84E4E"/>
    <w:rsid w:val="00AE672B"/>
    <w:rsid w:val="00B016CF"/>
    <w:rsid w:val="00B12D0E"/>
    <w:rsid w:val="00B47A47"/>
    <w:rsid w:val="00B97DF1"/>
    <w:rsid w:val="00BA3848"/>
    <w:rsid w:val="00C61AC5"/>
    <w:rsid w:val="00C71660"/>
    <w:rsid w:val="00CE3937"/>
    <w:rsid w:val="00CE4869"/>
    <w:rsid w:val="00D13BBE"/>
    <w:rsid w:val="00D415B5"/>
    <w:rsid w:val="00DF594F"/>
    <w:rsid w:val="00E30F85"/>
    <w:rsid w:val="00E936BB"/>
    <w:rsid w:val="00E94B31"/>
    <w:rsid w:val="00EA0C42"/>
    <w:rsid w:val="00EC621C"/>
    <w:rsid w:val="00EF288C"/>
    <w:rsid w:val="00F3425B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5BF7"/>
    <w:pPr>
      <w:tabs>
        <w:tab w:val="left" w:pos="540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F95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5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06EE7"/>
    <w:rPr>
      <w:color w:val="0000FF"/>
      <w:u w:val="single"/>
    </w:rPr>
  </w:style>
  <w:style w:type="table" w:styleId="a6">
    <w:name w:val="Table Grid"/>
    <w:basedOn w:val="a1"/>
    <w:uiPriority w:val="59"/>
    <w:rsid w:val="007E773D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920B5234090ABAEBEF9DE810EAA525765A2B6017B8AB2936AA77704M7o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7920B5234090ABAEBEF9DE810EAA525765AFBA0C788AB2936AA77704M7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920B5234090ABAEBEF9DE810EAA525767ABB004738AB2936AA77704M7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0BBD-B94E-4AF0-8C8E-565B124F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28</cp:revision>
  <cp:lastPrinted>2014-11-21T05:04:00Z</cp:lastPrinted>
  <dcterms:created xsi:type="dcterms:W3CDTF">2014-10-29T09:58:00Z</dcterms:created>
  <dcterms:modified xsi:type="dcterms:W3CDTF">2015-03-16T05:13:00Z</dcterms:modified>
</cp:coreProperties>
</file>